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rsidR="006F6326" w:rsidRDefault="006F6326" w:rsidP="008A22C6"/>
    <w:tbl>
      <w:tblPr>
        <w:tblStyle w:val="TableGrid"/>
        <w:tblW w:w="9924" w:type="dxa"/>
        <w:tblInd w:w="-318" w:type="dxa"/>
        <w:tblLook w:val="04A0" w:firstRow="1" w:lastRow="0" w:firstColumn="1" w:lastColumn="0" w:noHBand="0" w:noVBand="1"/>
      </w:tblPr>
      <w:tblGrid>
        <w:gridCol w:w="4821"/>
        <w:gridCol w:w="5103"/>
      </w:tblGrid>
      <w:tr w:rsidR="006F6326" w:rsidTr="00834D72">
        <w:tc>
          <w:tcPr>
            <w:tcW w:w="4821" w:type="dxa"/>
          </w:tcPr>
          <w:p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5103" w:type="dxa"/>
          </w:tcPr>
          <w:p w:rsidR="00B87695" w:rsidRPr="00A96C08" w:rsidRDefault="005B5DBD" w:rsidP="00C74C22">
            <w:pPr>
              <w:rPr>
                <w:rFonts w:ascii="Arial" w:hAnsi="Arial" w:cs="Arial"/>
              </w:rPr>
            </w:pPr>
            <w:r>
              <w:rPr>
                <w:rFonts w:ascii="Arial" w:hAnsi="Arial" w:cs="Arial"/>
              </w:rPr>
              <w:t xml:space="preserve">Agreement of the Oxford City Council Coronavirus </w:t>
            </w:r>
            <w:r w:rsidR="00C74C22">
              <w:rPr>
                <w:rFonts w:ascii="Arial" w:hAnsi="Arial" w:cs="Arial"/>
              </w:rPr>
              <w:t>Additional Restrictions</w:t>
            </w:r>
            <w:r>
              <w:rPr>
                <w:rFonts w:ascii="Arial" w:hAnsi="Arial" w:cs="Arial"/>
              </w:rPr>
              <w:t xml:space="preserve"> Grant </w:t>
            </w:r>
            <w:r w:rsidR="00C74C22">
              <w:rPr>
                <w:rFonts w:ascii="Arial" w:hAnsi="Arial" w:cs="Arial"/>
              </w:rPr>
              <w:t xml:space="preserve">(ARG) </w:t>
            </w:r>
            <w:r>
              <w:rPr>
                <w:rFonts w:ascii="Arial" w:hAnsi="Arial" w:cs="Arial"/>
              </w:rPr>
              <w:t>Scheme</w:t>
            </w:r>
            <w:r w:rsidR="00C148CE">
              <w:rPr>
                <w:rFonts w:ascii="Arial" w:hAnsi="Arial" w:cs="Arial"/>
              </w:rPr>
              <w:t xml:space="preserve"> Top-up</w:t>
            </w:r>
          </w:p>
        </w:tc>
      </w:tr>
      <w:tr w:rsidR="006F6326" w:rsidTr="00834D72">
        <w:tc>
          <w:tcPr>
            <w:tcW w:w="4821" w:type="dxa"/>
          </w:tcPr>
          <w:p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5103" w:type="dxa"/>
          </w:tcPr>
          <w:p w:rsidR="00263039" w:rsidRPr="00A96C08" w:rsidRDefault="00CC18F1" w:rsidP="008A22C6">
            <w:pPr>
              <w:rPr>
                <w:rFonts w:ascii="Arial" w:hAnsi="Arial" w:cs="Arial"/>
              </w:rPr>
            </w:pPr>
            <w:r w:rsidRPr="00CC18F1">
              <w:rPr>
                <w:rFonts w:ascii="Arial" w:hAnsi="Arial" w:cs="Arial"/>
              </w:rPr>
              <w:t>27 January 2022</w:t>
            </w:r>
          </w:p>
        </w:tc>
      </w:tr>
      <w:tr w:rsidR="00854133" w:rsidTr="00834D72">
        <w:tc>
          <w:tcPr>
            <w:tcW w:w="4821" w:type="dxa"/>
          </w:tcPr>
          <w:p w:rsidR="00854133" w:rsidRPr="00854133" w:rsidRDefault="00854133" w:rsidP="00CC18F1">
            <w:pPr>
              <w:spacing w:before="120" w:after="120"/>
              <w:rPr>
                <w:rFonts w:ascii="Arial" w:hAnsi="Arial" w:cs="Arial"/>
              </w:rPr>
            </w:pPr>
            <w:r>
              <w:rPr>
                <w:rFonts w:ascii="Arial" w:hAnsi="Arial" w:cs="Arial"/>
                <w:b/>
              </w:rPr>
              <w:t>Source of delegation:</w:t>
            </w:r>
          </w:p>
        </w:tc>
        <w:tc>
          <w:tcPr>
            <w:tcW w:w="5103" w:type="dxa"/>
          </w:tcPr>
          <w:p w:rsidR="005B5DBD" w:rsidRPr="005B5DBD" w:rsidRDefault="005B5DBD" w:rsidP="00AA2CED">
            <w:pPr>
              <w:jc w:val="both"/>
              <w:rPr>
                <w:rFonts w:ascii="Arial" w:hAnsi="Arial" w:cs="Arial"/>
              </w:rPr>
            </w:pPr>
            <w:r>
              <w:rPr>
                <w:rFonts w:ascii="Arial" w:hAnsi="Arial" w:cs="Arial"/>
              </w:rPr>
              <w:t>U</w:t>
            </w:r>
            <w:r w:rsidRPr="005B5DBD">
              <w:rPr>
                <w:rFonts w:ascii="Arial" w:hAnsi="Arial" w:cs="Arial"/>
              </w:rPr>
              <w:t>rgent decision in accordance with paragraph 9.3 (b) of the Council</w:t>
            </w:r>
            <w:r w:rsidR="00CC18F1">
              <w:rPr>
                <w:rFonts w:ascii="Arial" w:hAnsi="Arial" w:cs="Arial"/>
              </w:rPr>
              <w:t>’</w:t>
            </w:r>
            <w:r w:rsidRPr="005B5DBD">
              <w:rPr>
                <w:rFonts w:ascii="Arial" w:hAnsi="Arial" w:cs="Arial"/>
              </w:rPr>
              <w:t>s Constitution as follows:</w:t>
            </w:r>
          </w:p>
          <w:p w:rsidR="00854133" w:rsidRPr="00E20A54" w:rsidRDefault="005B5DBD" w:rsidP="00AA2CED">
            <w:pPr>
              <w:jc w:val="both"/>
              <w:rPr>
                <w:rFonts w:ascii="Arial" w:hAnsi="Arial" w:cs="Arial"/>
              </w:rPr>
            </w:pPr>
            <w:r w:rsidRPr="005B5DBD">
              <w:rPr>
                <w:rFonts w:ascii="Arial" w:hAnsi="Arial" w:cs="Arial"/>
              </w:rPr>
              <w:t>The Head of Paid Service is authorised to take any urgent action necessary to protect the Council’s interests and assets where time is of the essence and it is impracticable to secure authority to act where such authority would otherwise be required. The Head of Paid Service, in so acting, will be guided by budget and the policy framework, will consult the other Statutory Officers before acting and will report, in writing, as soon as practicable to the body which would otherwise have been required to give the necessary authority to act.</w:t>
            </w:r>
          </w:p>
        </w:tc>
      </w:tr>
      <w:tr w:rsidR="00B87695" w:rsidTr="00834D72">
        <w:tc>
          <w:tcPr>
            <w:tcW w:w="4821" w:type="dxa"/>
          </w:tcPr>
          <w:p w:rsidR="003B1236" w:rsidRDefault="00854133" w:rsidP="00CC18F1">
            <w:pPr>
              <w:spacing w:before="120" w:after="120"/>
              <w:rPr>
                <w:rFonts w:ascii="Arial" w:hAnsi="Arial" w:cs="Arial"/>
              </w:rPr>
            </w:pPr>
            <w:r w:rsidRPr="00BE1FD4">
              <w:rPr>
                <w:rFonts w:ascii="Arial" w:hAnsi="Arial" w:cs="Arial"/>
                <w:b/>
              </w:rPr>
              <w:t>What decision was made?</w:t>
            </w:r>
            <w:r>
              <w:rPr>
                <w:rFonts w:ascii="Arial" w:hAnsi="Arial" w:cs="Arial"/>
                <w:b/>
              </w:rPr>
              <w:t xml:space="preserve"> </w:t>
            </w:r>
          </w:p>
          <w:p w:rsidR="00CC18F1" w:rsidRPr="00B87695" w:rsidRDefault="00CC18F1" w:rsidP="00CC18F1">
            <w:pPr>
              <w:spacing w:before="120" w:after="120"/>
              <w:rPr>
                <w:rFonts w:ascii="Arial" w:hAnsi="Arial" w:cs="Arial"/>
                <w:b/>
              </w:rPr>
            </w:pPr>
          </w:p>
        </w:tc>
        <w:tc>
          <w:tcPr>
            <w:tcW w:w="5103" w:type="dxa"/>
          </w:tcPr>
          <w:p w:rsidR="00A112E6" w:rsidRPr="00A112E6" w:rsidRDefault="00A112E6" w:rsidP="006D6632">
            <w:pPr>
              <w:jc w:val="both"/>
              <w:rPr>
                <w:rFonts w:ascii="Arial" w:hAnsi="Arial" w:cs="Arial"/>
              </w:rPr>
            </w:pPr>
            <w:r>
              <w:rPr>
                <w:rFonts w:ascii="Arial" w:hAnsi="Arial" w:cs="Arial"/>
              </w:rPr>
              <w:t>To</w:t>
            </w:r>
            <w:r w:rsidR="005021CF">
              <w:rPr>
                <w:rFonts w:ascii="Arial" w:hAnsi="Arial" w:cs="Arial"/>
              </w:rPr>
              <w:t xml:space="preserve"> ensure timely and appropriate use of </w:t>
            </w:r>
            <w:r w:rsidR="00C148CE">
              <w:rPr>
                <w:rFonts w:ascii="Arial" w:hAnsi="Arial" w:cs="Arial"/>
              </w:rPr>
              <w:t>further</w:t>
            </w:r>
            <w:r w:rsidR="005021CF">
              <w:rPr>
                <w:rFonts w:ascii="Arial" w:hAnsi="Arial" w:cs="Arial"/>
              </w:rPr>
              <w:t xml:space="preserve"> Additional Restrictions Grant Funding in-line with the guidance and local economic need, the decision has been made to</w:t>
            </w:r>
            <w:r>
              <w:rPr>
                <w:rFonts w:ascii="Arial" w:hAnsi="Arial" w:cs="Arial"/>
              </w:rPr>
              <w:t>:</w:t>
            </w:r>
          </w:p>
          <w:p w:rsidR="00A112E6" w:rsidRPr="00A112E6" w:rsidRDefault="00A112E6" w:rsidP="006D6632">
            <w:pPr>
              <w:jc w:val="both"/>
              <w:rPr>
                <w:rFonts w:ascii="Arial" w:hAnsi="Arial" w:cs="Arial"/>
              </w:rPr>
            </w:pPr>
          </w:p>
          <w:p w:rsidR="00A112E6" w:rsidRPr="00A112E6" w:rsidRDefault="00E36AB1" w:rsidP="006D6632">
            <w:pPr>
              <w:numPr>
                <w:ilvl w:val="0"/>
                <w:numId w:val="19"/>
              </w:numPr>
              <w:jc w:val="both"/>
              <w:rPr>
                <w:rFonts w:ascii="Arial" w:hAnsi="Arial" w:cs="Arial"/>
              </w:rPr>
            </w:pPr>
            <w:r>
              <w:rPr>
                <w:rFonts w:ascii="Arial" w:hAnsi="Arial" w:cs="Arial"/>
              </w:rPr>
              <w:t>Increase the ARG budget available</w:t>
            </w:r>
            <w:r w:rsidR="00D41E3D">
              <w:rPr>
                <w:rFonts w:ascii="Arial" w:hAnsi="Arial" w:cs="Arial"/>
              </w:rPr>
              <w:t xml:space="preserve"> by </w:t>
            </w:r>
            <w:r w:rsidR="00D41E3D" w:rsidRPr="00E36AB1">
              <w:rPr>
                <w:rFonts w:ascii="Arial" w:hAnsi="Arial" w:cs="Arial"/>
                <w:u w:val="single"/>
              </w:rPr>
              <w:t>£208,367</w:t>
            </w:r>
            <w:r w:rsidR="00D41E3D">
              <w:rPr>
                <w:rFonts w:ascii="Arial" w:hAnsi="Arial" w:cs="Arial"/>
              </w:rPr>
              <w:t xml:space="preserve"> (total </w:t>
            </w:r>
            <w:proofErr w:type="gramStart"/>
            <w:r w:rsidR="00D41E3D">
              <w:rPr>
                <w:rFonts w:ascii="Arial" w:hAnsi="Arial" w:cs="Arial"/>
              </w:rPr>
              <w:t xml:space="preserve">allocation  </w:t>
            </w:r>
            <w:r w:rsidR="00A112E6" w:rsidRPr="00A112E6">
              <w:rPr>
                <w:rFonts w:ascii="Arial" w:hAnsi="Arial" w:cs="Arial"/>
              </w:rPr>
              <w:t>£</w:t>
            </w:r>
            <w:proofErr w:type="gramEnd"/>
            <w:r w:rsidR="00A112E6" w:rsidRPr="00A112E6">
              <w:rPr>
                <w:rFonts w:ascii="Arial" w:hAnsi="Arial" w:cs="Arial"/>
              </w:rPr>
              <w:t>5,</w:t>
            </w:r>
            <w:r w:rsidR="00D41E3D">
              <w:rPr>
                <w:rFonts w:ascii="Arial" w:hAnsi="Arial" w:cs="Arial"/>
              </w:rPr>
              <w:t>602,741)</w:t>
            </w:r>
            <w:r w:rsidR="005021CF">
              <w:rPr>
                <w:rFonts w:ascii="Arial" w:hAnsi="Arial" w:cs="Arial"/>
              </w:rPr>
              <w:t>.</w:t>
            </w:r>
            <w:r w:rsidR="00A112E6" w:rsidRPr="00A112E6">
              <w:rPr>
                <w:rFonts w:ascii="Arial" w:hAnsi="Arial" w:cs="Arial"/>
              </w:rPr>
              <w:t xml:space="preserve"> </w:t>
            </w:r>
          </w:p>
          <w:p w:rsidR="00A112E6" w:rsidRPr="00A112E6" w:rsidRDefault="00D41E3D" w:rsidP="00D41E3D">
            <w:pPr>
              <w:numPr>
                <w:ilvl w:val="0"/>
                <w:numId w:val="19"/>
              </w:numPr>
              <w:jc w:val="both"/>
              <w:rPr>
                <w:rFonts w:ascii="Arial" w:hAnsi="Arial" w:cs="Arial"/>
              </w:rPr>
            </w:pPr>
            <w:r>
              <w:rPr>
                <w:rFonts w:ascii="Arial" w:hAnsi="Arial" w:cs="Arial"/>
              </w:rPr>
              <w:t xml:space="preserve">Approve use of the top-up </w:t>
            </w:r>
            <w:proofErr w:type="gramStart"/>
            <w:r>
              <w:rPr>
                <w:rFonts w:ascii="Arial" w:hAnsi="Arial" w:cs="Arial"/>
              </w:rPr>
              <w:t>funds  for</w:t>
            </w:r>
            <w:proofErr w:type="gramEnd"/>
            <w:r>
              <w:rPr>
                <w:rFonts w:ascii="Arial" w:hAnsi="Arial" w:cs="Arial"/>
              </w:rPr>
              <w:t xml:space="preserve"> delivery of the </w:t>
            </w:r>
            <w:r w:rsidR="00E36AB1">
              <w:rPr>
                <w:rFonts w:ascii="Arial" w:hAnsi="Arial" w:cs="Arial"/>
              </w:rPr>
              <w:t>‘</w:t>
            </w:r>
            <w:r w:rsidRPr="00D41E3D">
              <w:rPr>
                <w:rFonts w:ascii="Arial" w:hAnsi="Arial" w:cs="Arial"/>
              </w:rPr>
              <w:t>Omicro</w:t>
            </w:r>
            <w:r>
              <w:rPr>
                <w:rFonts w:ascii="Arial" w:hAnsi="Arial" w:cs="Arial"/>
              </w:rPr>
              <w:t>n Additional Restrictions Grant</w:t>
            </w:r>
            <w:r w:rsidR="00E36AB1">
              <w:rPr>
                <w:rFonts w:ascii="Arial" w:hAnsi="Arial" w:cs="Arial"/>
              </w:rPr>
              <w:t>’</w:t>
            </w:r>
            <w:r>
              <w:rPr>
                <w:rFonts w:ascii="Arial" w:hAnsi="Arial" w:cs="Arial"/>
              </w:rPr>
              <w:t xml:space="preserve"> (see options considered). Any remaining funds from previous schemes will be also be allocated to this funds in-line with officer and leader delegations agreed on April 26</w:t>
            </w:r>
            <w:r w:rsidRPr="00D41E3D">
              <w:rPr>
                <w:rFonts w:ascii="Arial" w:hAnsi="Arial" w:cs="Arial"/>
                <w:vertAlign w:val="superscript"/>
              </w:rPr>
              <w:t>th</w:t>
            </w:r>
            <w:r>
              <w:rPr>
                <w:rFonts w:ascii="Arial" w:hAnsi="Arial" w:cs="Arial"/>
              </w:rPr>
              <w:t xml:space="preserve"> 2021.</w:t>
            </w:r>
          </w:p>
          <w:p w:rsidR="00E72144" w:rsidRPr="00E72144" w:rsidRDefault="00E72144" w:rsidP="00F1714D">
            <w:pPr>
              <w:rPr>
                <w:rFonts w:ascii="Arial" w:hAnsi="Arial" w:cs="Arial"/>
              </w:rPr>
            </w:pPr>
          </w:p>
        </w:tc>
      </w:tr>
      <w:tr w:rsidR="00B87695" w:rsidTr="00834D72">
        <w:tc>
          <w:tcPr>
            <w:tcW w:w="4821" w:type="dxa"/>
          </w:tcPr>
          <w:p w:rsidR="00B87695" w:rsidRPr="00B87695" w:rsidRDefault="00B87695" w:rsidP="00CC18F1">
            <w:pPr>
              <w:spacing w:before="120" w:after="120"/>
              <w:rPr>
                <w:rFonts w:ascii="Arial" w:hAnsi="Arial" w:cs="Arial"/>
              </w:rPr>
            </w:pPr>
            <w:r w:rsidRPr="00B87695">
              <w:rPr>
                <w:rFonts w:ascii="Arial" w:hAnsi="Arial" w:cs="Arial"/>
                <w:b/>
              </w:rPr>
              <w:t xml:space="preserve">Decision made by: </w:t>
            </w:r>
          </w:p>
        </w:tc>
        <w:tc>
          <w:tcPr>
            <w:tcW w:w="5103" w:type="dxa"/>
          </w:tcPr>
          <w:p w:rsidR="00B87695" w:rsidRDefault="00A112E6" w:rsidP="008A22C6">
            <w:pPr>
              <w:rPr>
                <w:rFonts w:ascii="Arial" w:hAnsi="Arial" w:cs="Arial"/>
              </w:rPr>
            </w:pPr>
            <w:r>
              <w:rPr>
                <w:rFonts w:ascii="Arial" w:hAnsi="Arial" w:cs="Arial"/>
              </w:rPr>
              <w:t>Caroline Green</w:t>
            </w:r>
            <w:r w:rsidR="005B5DBD">
              <w:rPr>
                <w:rFonts w:ascii="Arial" w:hAnsi="Arial" w:cs="Arial"/>
              </w:rPr>
              <w:t>, Chief Executive</w:t>
            </w:r>
          </w:p>
          <w:p w:rsidR="00D05837" w:rsidRPr="00A96C08" w:rsidRDefault="00D05837" w:rsidP="00C148CE">
            <w:pPr>
              <w:rPr>
                <w:rFonts w:ascii="Arial" w:hAnsi="Arial" w:cs="Arial"/>
              </w:rPr>
            </w:pPr>
            <w:r>
              <w:rPr>
                <w:rFonts w:ascii="Arial" w:hAnsi="Arial" w:cs="Arial"/>
              </w:rPr>
              <w:t xml:space="preserve">CMT </w:t>
            </w:r>
            <w:r w:rsidR="00C148CE">
              <w:rPr>
                <w:rFonts w:ascii="Arial" w:hAnsi="Arial" w:cs="Arial"/>
              </w:rPr>
              <w:t>and Leaders consulted w/c Jan 4</w:t>
            </w:r>
            <w:r w:rsidR="00C148CE" w:rsidRPr="00C148CE">
              <w:rPr>
                <w:rFonts w:ascii="Arial" w:hAnsi="Arial" w:cs="Arial"/>
                <w:vertAlign w:val="superscript"/>
              </w:rPr>
              <w:t>th</w:t>
            </w:r>
            <w:r w:rsidR="00C148CE">
              <w:rPr>
                <w:rFonts w:ascii="Arial" w:hAnsi="Arial" w:cs="Arial"/>
              </w:rPr>
              <w:t xml:space="preserve"> 2022</w:t>
            </w:r>
          </w:p>
        </w:tc>
      </w:tr>
      <w:tr w:rsidR="006F6326" w:rsidTr="00834D72">
        <w:tc>
          <w:tcPr>
            <w:tcW w:w="4821" w:type="dxa"/>
          </w:tcPr>
          <w:p w:rsidR="006F6326" w:rsidRDefault="006F6326" w:rsidP="00CC18F1">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5103" w:type="dxa"/>
          </w:tcPr>
          <w:p w:rsidR="007F56EC" w:rsidRDefault="005B5DBD" w:rsidP="007F56EC">
            <w:pPr>
              <w:jc w:val="both"/>
              <w:rPr>
                <w:rFonts w:ascii="Arial" w:hAnsi="Arial" w:cs="Arial"/>
              </w:rPr>
            </w:pPr>
            <w:r>
              <w:rPr>
                <w:rFonts w:ascii="Arial" w:hAnsi="Arial" w:cs="Arial"/>
              </w:rPr>
              <w:t>The grant sch</w:t>
            </w:r>
            <w:r w:rsidR="00D05837">
              <w:rPr>
                <w:rFonts w:ascii="Arial" w:hAnsi="Arial" w:cs="Arial"/>
              </w:rPr>
              <w:t>eme must be delivered to serv</w:t>
            </w:r>
            <w:r>
              <w:rPr>
                <w:rFonts w:ascii="Arial" w:hAnsi="Arial" w:cs="Arial"/>
              </w:rPr>
              <w:t xml:space="preserve">e the interests of local business </w:t>
            </w:r>
            <w:r w:rsidR="00A112E6">
              <w:rPr>
                <w:rFonts w:ascii="Arial" w:hAnsi="Arial" w:cs="Arial"/>
              </w:rPr>
              <w:t>severely affected by COVID restrictions</w:t>
            </w:r>
            <w:r w:rsidR="00F1714D">
              <w:rPr>
                <w:rFonts w:ascii="Arial" w:hAnsi="Arial" w:cs="Arial"/>
              </w:rPr>
              <w:t xml:space="preserve"> in line with Government guidance.</w:t>
            </w:r>
            <w:r>
              <w:rPr>
                <w:rFonts w:ascii="Arial" w:hAnsi="Arial" w:cs="Arial"/>
              </w:rPr>
              <w:t xml:space="preserve"> </w:t>
            </w:r>
            <w:r w:rsidR="00C41D12">
              <w:rPr>
                <w:rFonts w:ascii="Arial" w:hAnsi="Arial" w:cs="Arial"/>
              </w:rPr>
              <w:t>A</w:t>
            </w:r>
            <w:r w:rsidR="00C74C22">
              <w:rPr>
                <w:rFonts w:ascii="Arial" w:hAnsi="Arial" w:cs="Arial"/>
              </w:rPr>
              <w:t xml:space="preserve"> range of proposal</w:t>
            </w:r>
            <w:r w:rsidR="00DC5B25">
              <w:rPr>
                <w:rFonts w:ascii="Arial" w:hAnsi="Arial" w:cs="Arial"/>
              </w:rPr>
              <w:t xml:space="preserve">s </w:t>
            </w:r>
            <w:r w:rsidR="00C74C22">
              <w:rPr>
                <w:rFonts w:ascii="Arial" w:hAnsi="Arial" w:cs="Arial"/>
              </w:rPr>
              <w:t xml:space="preserve">were considered, and </w:t>
            </w:r>
            <w:r w:rsidR="00662BE7">
              <w:rPr>
                <w:rFonts w:ascii="Arial" w:hAnsi="Arial" w:cs="Arial"/>
              </w:rPr>
              <w:t xml:space="preserve">implementation of the </w:t>
            </w:r>
            <w:r w:rsidR="00F1714D">
              <w:rPr>
                <w:rFonts w:ascii="Arial" w:hAnsi="Arial" w:cs="Arial"/>
              </w:rPr>
              <w:t xml:space="preserve">recommended </w:t>
            </w:r>
            <w:r w:rsidR="00662BE7">
              <w:rPr>
                <w:rFonts w:ascii="Arial" w:hAnsi="Arial" w:cs="Arial"/>
              </w:rPr>
              <w:t>proposals</w:t>
            </w:r>
            <w:r w:rsidR="00C74C22">
              <w:rPr>
                <w:rFonts w:ascii="Arial" w:hAnsi="Arial" w:cs="Arial"/>
              </w:rPr>
              <w:t xml:space="preserve"> </w:t>
            </w:r>
            <w:r w:rsidR="00662BE7">
              <w:rPr>
                <w:rFonts w:ascii="Arial" w:hAnsi="Arial" w:cs="Arial"/>
              </w:rPr>
              <w:t>was decided</w:t>
            </w:r>
            <w:r w:rsidR="00F1714D">
              <w:rPr>
                <w:rFonts w:ascii="Arial" w:hAnsi="Arial" w:cs="Arial"/>
              </w:rPr>
              <w:t xml:space="preserve"> upon</w:t>
            </w:r>
            <w:r w:rsidR="00A112E6">
              <w:rPr>
                <w:rFonts w:ascii="Arial" w:hAnsi="Arial" w:cs="Arial"/>
              </w:rPr>
              <w:t>, based on the scheme guidance and local economic needs</w:t>
            </w:r>
            <w:r w:rsidR="00F1714D">
              <w:rPr>
                <w:rFonts w:ascii="Arial" w:hAnsi="Arial" w:cs="Arial"/>
              </w:rPr>
              <w:t>.</w:t>
            </w:r>
          </w:p>
          <w:p w:rsidR="007F56EC" w:rsidRDefault="007F56EC" w:rsidP="007F56EC">
            <w:pPr>
              <w:jc w:val="both"/>
              <w:rPr>
                <w:rFonts w:ascii="Arial" w:hAnsi="Arial" w:cs="Arial"/>
              </w:rPr>
            </w:pPr>
          </w:p>
          <w:p w:rsidR="00C148CE" w:rsidRDefault="00E36AB1" w:rsidP="00C148CE">
            <w:pPr>
              <w:jc w:val="both"/>
              <w:rPr>
                <w:rFonts w:ascii="Arial" w:hAnsi="Arial" w:cs="Arial"/>
              </w:rPr>
            </w:pPr>
            <w:r w:rsidRPr="00E36AB1">
              <w:rPr>
                <w:rFonts w:ascii="Arial" w:hAnsi="Arial" w:cs="Arial"/>
                <w:u w:val="single"/>
              </w:rPr>
              <w:t>Option Agreed:</w:t>
            </w:r>
            <w:r>
              <w:rPr>
                <w:rFonts w:ascii="Arial" w:hAnsi="Arial" w:cs="Arial"/>
              </w:rPr>
              <w:t xml:space="preserve"> </w:t>
            </w:r>
            <w:r w:rsidR="00C148CE" w:rsidRPr="00C148CE">
              <w:rPr>
                <w:rFonts w:ascii="Arial" w:hAnsi="Arial" w:cs="Arial"/>
              </w:rPr>
              <w:t xml:space="preserve">Further discretionary Additional Restrictions Grants (ARGs) </w:t>
            </w:r>
            <w:r w:rsidR="00C148CE">
              <w:rPr>
                <w:rFonts w:ascii="Arial" w:hAnsi="Arial" w:cs="Arial"/>
              </w:rPr>
              <w:t xml:space="preserve">will be </w:t>
            </w:r>
            <w:r w:rsidR="00D41E3D">
              <w:rPr>
                <w:rFonts w:ascii="Arial" w:hAnsi="Arial" w:cs="Arial"/>
              </w:rPr>
              <w:t xml:space="preserve">made </w:t>
            </w:r>
            <w:r w:rsidR="00D41E3D" w:rsidRPr="00C148CE">
              <w:rPr>
                <w:rFonts w:ascii="Arial" w:hAnsi="Arial" w:cs="Arial"/>
              </w:rPr>
              <w:t>available</w:t>
            </w:r>
            <w:r w:rsidR="00C148CE" w:rsidRPr="00C148CE">
              <w:rPr>
                <w:rFonts w:ascii="Arial" w:hAnsi="Arial" w:cs="Arial"/>
              </w:rPr>
              <w:t xml:space="preserve"> for businesses </w:t>
            </w:r>
            <w:r w:rsidR="00C148CE">
              <w:rPr>
                <w:rFonts w:ascii="Arial" w:hAnsi="Arial" w:cs="Arial"/>
              </w:rPr>
              <w:t xml:space="preserve">operating </w:t>
            </w:r>
            <w:r w:rsidR="00C148CE" w:rsidRPr="00C148CE">
              <w:rPr>
                <w:rFonts w:ascii="Arial" w:hAnsi="Arial" w:cs="Arial"/>
              </w:rPr>
              <w:t xml:space="preserve">in the Oxford City Council area that have been severely impacted by the Omicron variant of </w:t>
            </w:r>
            <w:r w:rsidR="00C148CE" w:rsidRPr="00C148CE">
              <w:rPr>
                <w:rFonts w:ascii="Arial" w:hAnsi="Arial" w:cs="Arial"/>
              </w:rPr>
              <w:lastRenderedPageBreak/>
              <w:t xml:space="preserve">COVID-19 and have NOT been able to apply for the </w:t>
            </w:r>
            <w:r w:rsidR="00C148CE">
              <w:rPr>
                <w:rFonts w:ascii="Arial" w:hAnsi="Arial" w:cs="Arial"/>
              </w:rPr>
              <w:t xml:space="preserve">main </w:t>
            </w:r>
            <w:r w:rsidR="00C148CE" w:rsidRPr="00C148CE">
              <w:rPr>
                <w:rFonts w:ascii="Arial" w:hAnsi="Arial" w:cs="Arial"/>
              </w:rPr>
              <w:t>Omicron Hospitality, Leisure &amp; Accommodation Grants.</w:t>
            </w:r>
          </w:p>
          <w:p w:rsidR="00C148CE" w:rsidRPr="00C148CE" w:rsidRDefault="00C148CE" w:rsidP="00C148CE">
            <w:pPr>
              <w:jc w:val="both"/>
              <w:rPr>
                <w:rFonts w:ascii="Arial" w:hAnsi="Arial" w:cs="Arial"/>
              </w:rPr>
            </w:pPr>
          </w:p>
          <w:p w:rsidR="00C148CE" w:rsidRDefault="00C148CE" w:rsidP="00C148CE">
            <w:pPr>
              <w:jc w:val="both"/>
              <w:rPr>
                <w:rFonts w:ascii="Arial" w:hAnsi="Arial" w:cs="Arial"/>
              </w:rPr>
            </w:pPr>
            <w:r w:rsidRPr="00C148CE">
              <w:rPr>
                <w:rFonts w:ascii="Arial" w:hAnsi="Arial" w:cs="Arial"/>
              </w:rPr>
              <w:t xml:space="preserve">These </w:t>
            </w:r>
            <w:r>
              <w:rPr>
                <w:rFonts w:ascii="Arial" w:hAnsi="Arial" w:cs="Arial"/>
              </w:rPr>
              <w:t>will be</w:t>
            </w:r>
            <w:r w:rsidRPr="00C148CE">
              <w:rPr>
                <w:rFonts w:ascii="Arial" w:hAnsi="Arial" w:cs="Arial"/>
              </w:rPr>
              <w:t xml:space="preserve"> one-off grants of up to £5,000, available to all businesses, including those outside the business rates system, in the hospitality, accommodation, leisure, personal care, travel and tourism sectors, including group travel, travel agents and tour operators, coach operators, wedding industries, events industries, wholesalers, English language schools, breweries, freelance and mobile businesses (including caterers, events, hair, beauty and wedding related businesses), gyms, where NOT covered by the main Omicron Hospitality, Leisure &amp; Accommodation grants.</w:t>
            </w:r>
          </w:p>
          <w:p w:rsidR="00C148CE" w:rsidRDefault="00C148CE" w:rsidP="00C148CE">
            <w:pPr>
              <w:jc w:val="both"/>
              <w:rPr>
                <w:rFonts w:ascii="Arial" w:hAnsi="Arial" w:cs="Arial"/>
              </w:rPr>
            </w:pPr>
          </w:p>
          <w:p w:rsidR="00BA6C93" w:rsidRPr="000A3452" w:rsidRDefault="00C148CE" w:rsidP="00E36AB1">
            <w:pPr>
              <w:jc w:val="both"/>
              <w:rPr>
                <w:rFonts w:ascii="Arial" w:hAnsi="Arial" w:cs="Arial"/>
              </w:rPr>
            </w:pPr>
            <w:r w:rsidRPr="00C148CE">
              <w:rPr>
                <w:rFonts w:ascii="Arial" w:hAnsi="Arial" w:cs="Arial"/>
              </w:rPr>
              <w:t>Grants will be allocated to businesses dependent on their fixed costs, losses and number of employees, though they should not be used to support wages. We h</w:t>
            </w:r>
            <w:r w:rsidR="00E36AB1">
              <w:rPr>
                <w:rFonts w:ascii="Arial" w:hAnsi="Arial" w:cs="Arial"/>
              </w:rPr>
              <w:t>ave a limited amount of funding, so may close the scheme early if demand exceeds funds. We will</w:t>
            </w:r>
            <w:r w:rsidRPr="00C148CE">
              <w:rPr>
                <w:rFonts w:ascii="Arial" w:hAnsi="Arial" w:cs="Arial"/>
              </w:rPr>
              <w:t xml:space="preserve"> make all payments by 31 March 2022.</w:t>
            </w:r>
          </w:p>
        </w:tc>
      </w:tr>
      <w:tr w:rsidR="006F6326" w:rsidTr="00834D72">
        <w:tc>
          <w:tcPr>
            <w:tcW w:w="4821" w:type="dxa"/>
          </w:tcPr>
          <w:p w:rsidR="00C678ED" w:rsidRPr="00C678ED" w:rsidRDefault="006F6326" w:rsidP="00CC18F1">
            <w:pPr>
              <w:spacing w:before="120"/>
              <w:rPr>
                <w:rFonts w:ascii="Arial" w:hAnsi="Arial" w:cs="Arial"/>
              </w:rPr>
            </w:pPr>
            <w:r w:rsidRPr="00335A9B">
              <w:rPr>
                <w:rFonts w:ascii="Arial" w:hAnsi="Arial" w:cs="Arial"/>
                <w:b/>
              </w:rPr>
              <w:lastRenderedPageBreak/>
              <w:t>Documents considered</w:t>
            </w:r>
            <w:r w:rsidR="00AC5899">
              <w:rPr>
                <w:rFonts w:ascii="Arial" w:hAnsi="Arial" w:cs="Arial"/>
                <w:b/>
              </w:rPr>
              <w:t>:</w:t>
            </w:r>
            <w:r w:rsidRPr="006F6326">
              <w:rPr>
                <w:rFonts w:ascii="Arial" w:hAnsi="Arial" w:cs="Arial"/>
                <w:i/>
              </w:rPr>
              <w:t xml:space="preserve"> </w:t>
            </w:r>
          </w:p>
        </w:tc>
        <w:tc>
          <w:tcPr>
            <w:tcW w:w="5103" w:type="dxa"/>
          </w:tcPr>
          <w:p w:rsidR="00BA6C93" w:rsidRDefault="00BA6C93" w:rsidP="008A22C6">
            <w:pPr>
              <w:rPr>
                <w:rFonts w:ascii="Arial" w:hAnsi="Arial" w:cs="Arial"/>
              </w:rPr>
            </w:pPr>
          </w:p>
          <w:p w:rsidR="00EB6694" w:rsidRPr="00A96C08" w:rsidRDefault="00BA6C93" w:rsidP="00EB6694">
            <w:pPr>
              <w:rPr>
                <w:rFonts w:ascii="Arial" w:hAnsi="Arial" w:cs="Arial"/>
              </w:rPr>
            </w:pPr>
            <w:r>
              <w:rPr>
                <w:rFonts w:ascii="Arial" w:hAnsi="Arial" w:cs="Arial"/>
              </w:rPr>
              <w:t xml:space="preserve">Additional Restrictions Grant LA </w:t>
            </w:r>
            <w:r w:rsidR="00EB6694">
              <w:rPr>
                <w:rFonts w:ascii="Arial" w:hAnsi="Arial" w:cs="Arial"/>
              </w:rPr>
              <w:t xml:space="preserve">Guidance </w:t>
            </w:r>
            <w:r w:rsidR="007F56EC">
              <w:rPr>
                <w:rFonts w:ascii="Arial" w:hAnsi="Arial" w:cs="Arial"/>
              </w:rPr>
              <w:t xml:space="preserve">and FAQs published </w:t>
            </w:r>
            <w:r w:rsidR="00C148CE">
              <w:rPr>
                <w:rFonts w:ascii="Arial" w:hAnsi="Arial" w:cs="Arial"/>
              </w:rPr>
              <w:t>20 Jan</w:t>
            </w:r>
            <w:r w:rsidR="003C1719">
              <w:rPr>
                <w:rFonts w:ascii="Arial" w:hAnsi="Arial" w:cs="Arial"/>
              </w:rPr>
              <w:t>uary</w:t>
            </w:r>
            <w:r w:rsidR="00C148CE">
              <w:rPr>
                <w:rFonts w:ascii="Arial" w:hAnsi="Arial" w:cs="Arial"/>
              </w:rPr>
              <w:t xml:space="preserve"> 2022</w:t>
            </w:r>
          </w:p>
          <w:p w:rsidR="005B5DBD" w:rsidRPr="00A96C08" w:rsidRDefault="005B5DBD" w:rsidP="008A22C6">
            <w:pPr>
              <w:rPr>
                <w:rFonts w:ascii="Arial" w:hAnsi="Arial" w:cs="Arial"/>
              </w:rPr>
            </w:pPr>
          </w:p>
        </w:tc>
      </w:tr>
      <w:tr w:rsidR="006F6326" w:rsidTr="00834D72">
        <w:tc>
          <w:tcPr>
            <w:tcW w:w="4821" w:type="dxa"/>
          </w:tcPr>
          <w:p w:rsidR="003505E0" w:rsidRDefault="003505E0" w:rsidP="00CC18F1">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p>
        </w:tc>
        <w:tc>
          <w:tcPr>
            <w:tcW w:w="5103" w:type="dxa"/>
          </w:tcPr>
          <w:p w:rsidR="006F6326" w:rsidRPr="00A96C08" w:rsidRDefault="00C148CE" w:rsidP="008A22C6">
            <w:pPr>
              <w:rPr>
                <w:rFonts w:ascii="Arial" w:hAnsi="Arial" w:cs="Arial"/>
              </w:rPr>
            </w:pPr>
            <w:r>
              <w:rPr>
                <w:rFonts w:ascii="Arial" w:hAnsi="Arial" w:cs="Arial"/>
              </w:rPr>
              <w:t>Not Key</w:t>
            </w:r>
          </w:p>
        </w:tc>
      </w:tr>
      <w:tr w:rsidR="006F6326" w:rsidTr="00834D72">
        <w:tc>
          <w:tcPr>
            <w:tcW w:w="4821" w:type="dxa"/>
          </w:tcPr>
          <w:p w:rsidR="006F6326" w:rsidRPr="006F6326" w:rsidRDefault="006F6326" w:rsidP="003B1236">
            <w:pPr>
              <w:spacing w:before="120" w:after="120"/>
              <w:rPr>
                <w:rFonts w:ascii="Arial" w:hAnsi="Arial" w:cs="Arial"/>
                <w:b/>
              </w:rPr>
            </w:pPr>
            <w:r w:rsidRPr="006F6326">
              <w:rPr>
                <w:rFonts w:ascii="Arial" w:hAnsi="Arial" w:cs="Arial"/>
                <w:b/>
              </w:rPr>
              <w:t xml:space="preserve">Wards </w:t>
            </w:r>
            <w:r w:rsidR="00304626">
              <w:rPr>
                <w:rFonts w:ascii="Arial" w:hAnsi="Arial" w:cs="Arial"/>
                <w:b/>
              </w:rPr>
              <w:t xml:space="preserve">significantly </w:t>
            </w:r>
            <w:r w:rsidRPr="006F6326">
              <w:rPr>
                <w:rFonts w:ascii="Arial" w:hAnsi="Arial" w:cs="Arial"/>
                <w:b/>
              </w:rPr>
              <w:t>affected</w:t>
            </w:r>
            <w:r w:rsidR="00B87695">
              <w:rPr>
                <w:rFonts w:ascii="Arial" w:hAnsi="Arial" w:cs="Arial"/>
                <w:b/>
              </w:rPr>
              <w:t>:</w:t>
            </w:r>
          </w:p>
        </w:tc>
        <w:tc>
          <w:tcPr>
            <w:tcW w:w="5103" w:type="dxa"/>
          </w:tcPr>
          <w:p w:rsidR="006F6326" w:rsidRPr="00A96C08" w:rsidRDefault="00304626" w:rsidP="008A22C6">
            <w:pPr>
              <w:rPr>
                <w:rFonts w:ascii="Arial" w:hAnsi="Arial" w:cs="Arial"/>
              </w:rPr>
            </w:pPr>
            <w:r>
              <w:rPr>
                <w:rFonts w:ascii="Arial" w:hAnsi="Arial" w:cs="Arial"/>
              </w:rPr>
              <w:t>None</w:t>
            </w:r>
          </w:p>
        </w:tc>
      </w:tr>
      <w:tr w:rsidR="006F6326" w:rsidTr="00834D72">
        <w:tc>
          <w:tcPr>
            <w:tcW w:w="4821" w:type="dxa"/>
          </w:tcPr>
          <w:p w:rsidR="006F6326" w:rsidRPr="006F6326" w:rsidRDefault="006F6326" w:rsidP="00CC18F1">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5103" w:type="dxa"/>
          </w:tcPr>
          <w:p w:rsidR="006F6326" w:rsidRPr="00A96C08" w:rsidRDefault="005B5DBD" w:rsidP="008A22C6">
            <w:pPr>
              <w:rPr>
                <w:rFonts w:ascii="Arial" w:hAnsi="Arial" w:cs="Arial"/>
              </w:rPr>
            </w:pPr>
            <w:r>
              <w:rPr>
                <w:rFonts w:ascii="Arial" w:hAnsi="Arial" w:cs="Arial"/>
              </w:rPr>
              <w:t>N/A</w:t>
            </w:r>
          </w:p>
        </w:tc>
      </w:tr>
      <w:tr w:rsidR="00B87695" w:rsidTr="00834D72">
        <w:tc>
          <w:tcPr>
            <w:tcW w:w="4821" w:type="dxa"/>
          </w:tcPr>
          <w:p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rsidR="003505E0" w:rsidRDefault="003505E0" w:rsidP="003505E0">
            <w:pPr>
              <w:spacing w:before="120"/>
              <w:rPr>
                <w:rFonts w:ascii="Arial" w:hAnsi="Arial" w:cs="Arial"/>
                <w:b/>
              </w:rPr>
            </w:pPr>
            <w:r w:rsidRPr="003505E0">
              <w:rPr>
                <w:rFonts w:ascii="Arial" w:hAnsi="Arial" w:cs="Arial"/>
                <w:b/>
              </w:rPr>
              <w:t>Name &amp; title:</w:t>
            </w:r>
          </w:p>
          <w:p w:rsidR="003505E0" w:rsidRDefault="003505E0" w:rsidP="00AC5899">
            <w:pPr>
              <w:spacing w:before="120" w:after="120"/>
              <w:rPr>
                <w:rFonts w:ascii="Arial" w:hAnsi="Arial" w:cs="Arial"/>
                <w:b/>
              </w:rPr>
            </w:pPr>
            <w:r w:rsidRPr="003505E0">
              <w:rPr>
                <w:rFonts w:ascii="Arial" w:hAnsi="Arial" w:cs="Arial"/>
                <w:b/>
              </w:rPr>
              <w:t>Date:</w:t>
            </w:r>
          </w:p>
        </w:tc>
        <w:tc>
          <w:tcPr>
            <w:tcW w:w="5103" w:type="dxa"/>
          </w:tcPr>
          <w:p w:rsidR="00DA71FC" w:rsidRDefault="00DA71FC" w:rsidP="008A22C6">
            <w:pPr>
              <w:rPr>
                <w:rFonts w:ascii="Arial" w:hAnsi="Arial" w:cs="Arial"/>
              </w:rPr>
            </w:pPr>
          </w:p>
          <w:p w:rsidR="00CC18F1" w:rsidRDefault="00CC18F1" w:rsidP="00C148CE">
            <w:pPr>
              <w:rPr>
                <w:rFonts w:ascii="Arial" w:hAnsi="Arial" w:cs="Arial"/>
              </w:rPr>
            </w:pPr>
            <w:r>
              <w:rPr>
                <w:rFonts w:ascii="Arial" w:hAnsi="Arial" w:cs="Arial"/>
              </w:rPr>
              <w:t>Matt Peachey</w:t>
            </w:r>
          </w:p>
          <w:p w:rsidR="00CC18F1" w:rsidRDefault="00CC18F1" w:rsidP="00C148CE">
            <w:pPr>
              <w:rPr>
                <w:rFonts w:ascii="Arial" w:hAnsi="Arial" w:cs="Arial"/>
              </w:rPr>
            </w:pPr>
            <w:r>
              <w:rPr>
                <w:rFonts w:ascii="Arial" w:hAnsi="Arial" w:cs="Arial"/>
              </w:rPr>
              <w:t>Economic Development Manager</w:t>
            </w:r>
          </w:p>
          <w:p w:rsidR="00DD1A34" w:rsidRPr="00A96C08" w:rsidRDefault="00CC18F1" w:rsidP="00C148CE">
            <w:pPr>
              <w:rPr>
                <w:rFonts w:ascii="Arial" w:hAnsi="Arial" w:cs="Arial"/>
              </w:rPr>
            </w:pPr>
            <w:r>
              <w:rPr>
                <w:rFonts w:ascii="Arial" w:hAnsi="Arial" w:cs="Arial"/>
              </w:rPr>
              <w:t>26 January 2022</w:t>
            </w:r>
          </w:p>
        </w:tc>
      </w:tr>
    </w:tbl>
    <w:p w:rsidR="006F6326" w:rsidRDefault="006F6326" w:rsidP="008A22C6"/>
    <w:p w:rsidR="00F12728" w:rsidRDefault="00F12728" w:rsidP="00F12728">
      <w:pPr>
        <w:rPr>
          <w:rFonts w:ascii="Arial" w:hAnsi="Arial" w:cs="Arial"/>
          <w:b/>
        </w:rPr>
      </w:pPr>
      <w:r>
        <w:rPr>
          <w:rFonts w:ascii="Arial" w:hAnsi="Arial" w:cs="Arial"/>
          <w:b/>
        </w:rPr>
        <w:t xml:space="preserve">Approval checklist </w:t>
      </w:r>
      <w:bookmarkStart w:id="0" w:name="LastEdit"/>
      <w:bookmarkEnd w:id="0"/>
    </w:p>
    <w:p w:rsidR="00F12728" w:rsidRDefault="00F12728" w:rsidP="00F12728">
      <w:pPr>
        <w:rPr>
          <w:rFonts w:ascii="Arial" w:hAnsi="Arial" w:cs="Arial"/>
          <w:b/>
        </w:rPr>
      </w:pPr>
    </w:p>
    <w:tbl>
      <w:tblPr>
        <w:tblStyle w:val="TableGrid"/>
        <w:tblW w:w="9923" w:type="dxa"/>
        <w:tblInd w:w="-289" w:type="dxa"/>
        <w:tblLook w:val="04A0" w:firstRow="1" w:lastRow="0" w:firstColumn="1" w:lastColumn="0" w:noHBand="0" w:noVBand="1"/>
      </w:tblPr>
      <w:tblGrid>
        <w:gridCol w:w="3011"/>
        <w:gridCol w:w="5110"/>
        <w:gridCol w:w="1802"/>
      </w:tblGrid>
      <w:tr w:rsidR="00F12728" w:rsidTr="00F12728">
        <w:trPr>
          <w:trHeight w:val="516"/>
        </w:trPr>
        <w:tc>
          <w:tcPr>
            <w:tcW w:w="3828" w:type="dxa"/>
            <w:tcBorders>
              <w:top w:val="single" w:sz="4" w:space="0" w:color="auto"/>
              <w:left w:val="single" w:sz="4" w:space="0" w:color="auto"/>
              <w:bottom w:val="single" w:sz="4" w:space="0" w:color="auto"/>
              <w:right w:val="single" w:sz="4" w:space="0" w:color="auto"/>
            </w:tcBorders>
            <w:hideMark/>
          </w:tcPr>
          <w:p w:rsidR="00F12728" w:rsidRDefault="00F12728">
            <w:pPr>
              <w:spacing w:before="120" w:after="120"/>
              <w:rPr>
                <w:rFonts w:ascii="Arial" w:hAnsi="Arial" w:cs="Arial"/>
                <w:b/>
                <w:i/>
                <w:lang w:eastAsia="en-US"/>
              </w:rPr>
            </w:pPr>
            <w:r>
              <w:rPr>
                <w:rFonts w:ascii="Arial" w:hAnsi="Arial" w:cs="Arial"/>
                <w:b/>
                <w:i/>
                <w:lang w:eastAsia="en-US"/>
              </w:rPr>
              <w:t>Approver</w:t>
            </w:r>
          </w:p>
        </w:tc>
        <w:tc>
          <w:tcPr>
            <w:tcW w:w="4111" w:type="dxa"/>
            <w:tcBorders>
              <w:top w:val="single" w:sz="4" w:space="0" w:color="auto"/>
              <w:left w:val="single" w:sz="4" w:space="0" w:color="auto"/>
              <w:bottom w:val="single" w:sz="4" w:space="0" w:color="auto"/>
              <w:right w:val="single" w:sz="4" w:space="0" w:color="auto"/>
            </w:tcBorders>
            <w:vAlign w:val="center"/>
            <w:hideMark/>
          </w:tcPr>
          <w:p w:rsidR="00F12728" w:rsidRDefault="00F12728">
            <w:pPr>
              <w:rPr>
                <w:rFonts w:ascii="Arial" w:hAnsi="Arial" w:cs="Arial"/>
                <w:b/>
                <w:i/>
                <w:lang w:eastAsia="en-US"/>
              </w:rPr>
            </w:pPr>
            <w:r>
              <w:rPr>
                <w:rFonts w:ascii="Arial" w:hAnsi="Arial" w:cs="Arial"/>
                <w:b/>
                <w:i/>
                <w:lang w:eastAsia="en-US"/>
              </w:rPr>
              <w:t>Name and job title</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2728" w:rsidRDefault="00F12728">
            <w:pPr>
              <w:rPr>
                <w:rFonts w:ascii="Arial" w:hAnsi="Arial" w:cs="Arial"/>
                <w:b/>
                <w:i/>
                <w:lang w:eastAsia="en-US"/>
              </w:rPr>
            </w:pPr>
            <w:r>
              <w:rPr>
                <w:rFonts w:ascii="Arial" w:hAnsi="Arial" w:cs="Arial"/>
                <w:b/>
                <w:i/>
                <w:lang w:eastAsia="en-US"/>
              </w:rPr>
              <w:t xml:space="preserve">Date </w:t>
            </w:r>
          </w:p>
        </w:tc>
      </w:tr>
      <w:tr w:rsidR="00F12728" w:rsidTr="00F12728">
        <w:trPr>
          <w:trHeight w:val="1161"/>
        </w:trPr>
        <w:tc>
          <w:tcPr>
            <w:tcW w:w="3828" w:type="dxa"/>
            <w:tcBorders>
              <w:top w:val="single" w:sz="4" w:space="0" w:color="auto"/>
              <w:left w:val="single" w:sz="4" w:space="0" w:color="auto"/>
              <w:bottom w:val="single" w:sz="4" w:space="0" w:color="auto"/>
              <w:right w:val="single" w:sz="4" w:space="0" w:color="auto"/>
            </w:tcBorders>
            <w:hideMark/>
          </w:tcPr>
          <w:p w:rsidR="00F12728" w:rsidRDefault="00F12728">
            <w:pPr>
              <w:spacing w:before="120"/>
              <w:rPr>
                <w:rFonts w:ascii="Arial" w:hAnsi="Arial" w:cs="Arial"/>
                <w:lang w:eastAsia="en-US"/>
              </w:rPr>
            </w:pPr>
            <w:r>
              <w:rPr>
                <w:rFonts w:ascii="Arial" w:hAnsi="Arial" w:cs="Arial"/>
                <w:b/>
                <w:lang w:eastAsia="en-US"/>
              </w:rPr>
              <w:t>Decision Maker</w:t>
            </w:r>
          </w:p>
        </w:tc>
        <w:tc>
          <w:tcPr>
            <w:tcW w:w="4111" w:type="dxa"/>
            <w:tcBorders>
              <w:top w:val="single" w:sz="4" w:space="0" w:color="auto"/>
              <w:left w:val="single" w:sz="4" w:space="0" w:color="auto"/>
              <w:bottom w:val="single" w:sz="4" w:space="0" w:color="auto"/>
              <w:right w:val="single" w:sz="4" w:space="0" w:color="auto"/>
            </w:tcBorders>
            <w:vAlign w:val="center"/>
            <w:hideMark/>
          </w:tcPr>
          <w:p w:rsidR="00F12728" w:rsidRDefault="00F12728">
            <w:pPr>
              <w:rPr>
                <w:rFonts w:ascii="Arial" w:hAnsi="Arial" w:cs="Arial"/>
                <w:lang w:eastAsia="en-US"/>
              </w:rPr>
            </w:pPr>
            <w:r>
              <w:rPr>
                <w:noProof/>
              </w:rPr>
              <w:drawing>
                <wp:inline distT="0" distB="0" distL="0" distR="0" wp14:anchorId="793AACCF" wp14:editId="58A869C9">
                  <wp:extent cx="3107690" cy="927100"/>
                  <wp:effectExtent l="0" t="0" r="0" b="6350"/>
                  <wp:docPr id="7" name="Picture 7" descr="C:\Users\jmitchell\AppData\Local\Microsoft\Windows\INetCache\Content.Outlook\JEVXX3BB\Signature Caroline Capture.PNG"/>
                  <wp:cNvGraphicFramePr/>
                  <a:graphic xmlns:a="http://schemas.openxmlformats.org/drawingml/2006/main">
                    <a:graphicData uri="http://schemas.openxmlformats.org/drawingml/2006/picture">
                      <pic:pic xmlns:pic="http://schemas.openxmlformats.org/drawingml/2006/picture">
                        <pic:nvPicPr>
                          <pic:cNvPr id="7" name="Picture 7" descr="C:\Users\jmitchell\AppData\Local\Microsoft\Windows\INetCache\Content.Outlook\JEVXX3BB\Signature Caroline Capture.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927100"/>
                          </a:xfrm>
                          <a:prstGeom prst="rect">
                            <a:avLst/>
                          </a:prstGeom>
                          <a:noFill/>
                          <a:ln>
                            <a:noFill/>
                          </a:ln>
                        </pic:spPr>
                      </pic:pic>
                    </a:graphicData>
                  </a:graphic>
                </wp:inline>
              </w:drawing>
            </w:r>
          </w:p>
          <w:p w:rsidR="00F12728" w:rsidRDefault="00F12728">
            <w:pPr>
              <w:rPr>
                <w:rFonts w:ascii="Arial" w:hAnsi="Arial" w:cs="Arial"/>
                <w:lang w:eastAsia="en-US"/>
              </w:rPr>
            </w:pPr>
            <w:r>
              <w:rPr>
                <w:rFonts w:ascii="Arial" w:hAnsi="Arial" w:cs="Arial"/>
                <w:lang w:eastAsia="en-US"/>
              </w:rPr>
              <w:t>Caroline Green, Chief Executive</w:t>
            </w:r>
          </w:p>
        </w:tc>
        <w:tc>
          <w:tcPr>
            <w:tcW w:w="1984" w:type="dxa"/>
            <w:tcBorders>
              <w:top w:val="single" w:sz="4" w:space="0" w:color="auto"/>
              <w:left w:val="single" w:sz="4" w:space="0" w:color="auto"/>
              <w:bottom w:val="single" w:sz="4" w:space="0" w:color="auto"/>
              <w:right w:val="single" w:sz="4" w:space="0" w:color="auto"/>
            </w:tcBorders>
            <w:vAlign w:val="center"/>
            <w:hideMark/>
          </w:tcPr>
          <w:p w:rsidR="00F12728" w:rsidRDefault="00F12728">
            <w:pPr>
              <w:rPr>
                <w:rFonts w:ascii="Arial" w:hAnsi="Arial" w:cs="Arial"/>
                <w:lang w:eastAsia="en-US"/>
              </w:rPr>
            </w:pPr>
            <w:r>
              <w:rPr>
                <w:rFonts w:ascii="Arial" w:hAnsi="Arial" w:cs="Arial"/>
                <w:lang w:eastAsia="en-US"/>
              </w:rPr>
              <w:t>27</w:t>
            </w:r>
            <w:bookmarkStart w:id="1" w:name="_GoBack"/>
            <w:bookmarkEnd w:id="1"/>
            <w:r>
              <w:rPr>
                <w:rFonts w:ascii="Arial" w:hAnsi="Arial" w:cs="Arial"/>
                <w:lang w:eastAsia="en-US"/>
              </w:rPr>
              <w:t>/01</w:t>
            </w:r>
            <w:r>
              <w:rPr>
                <w:rFonts w:ascii="Arial" w:hAnsi="Arial" w:cs="Arial"/>
                <w:lang w:eastAsia="en-US"/>
              </w:rPr>
              <w:t>/2022</w:t>
            </w:r>
          </w:p>
        </w:tc>
      </w:tr>
    </w:tbl>
    <w:p w:rsidR="005C6416" w:rsidRPr="00B15340" w:rsidRDefault="005C6416" w:rsidP="005C6416">
      <w:pPr>
        <w:rPr>
          <w:rFonts w:ascii="Arial" w:hAnsi="Arial" w:cs="Arial"/>
        </w:rPr>
      </w:pPr>
    </w:p>
    <w:sectPr w:rsidR="005C6416" w:rsidRPr="00B15340" w:rsidSect="00532DF2">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89" w:rsidRDefault="00245889" w:rsidP="00F11FD1">
      <w:r>
        <w:separator/>
      </w:r>
    </w:p>
  </w:endnote>
  <w:endnote w:type="continuationSeparator" w:id="0">
    <w:p w:rsidR="00245889" w:rsidRDefault="00245889"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89" w:rsidRDefault="00245889" w:rsidP="00F11FD1">
      <w:r>
        <w:separator/>
      </w:r>
    </w:p>
  </w:footnote>
  <w:footnote w:type="continuationSeparator" w:id="0">
    <w:p w:rsidR="00245889" w:rsidRDefault="00245889" w:rsidP="00F1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6A1"/>
    <w:multiLevelType w:val="multilevel"/>
    <w:tmpl w:val="F52EAD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E6671"/>
    <w:multiLevelType w:val="multilevel"/>
    <w:tmpl w:val="8882710A"/>
    <w:lvl w:ilvl="0">
      <w:start w:val="1"/>
      <w:numFmt w:val="decimal"/>
      <w:lvlText w:val="%1."/>
      <w:lvlJc w:val="left"/>
      <w:pPr>
        <w:ind w:left="786" w:hanging="360"/>
      </w:pPr>
      <w:rPr>
        <w:rFonts w:hint="default"/>
        <w:b/>
        <w:i w:val="0"/>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6B916AC"/>
    <w:multiLevelType w:val="hybridMultilevel"/>
    <w:tmpl w:val="07B6286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06C43332"/>
    <w:multiLevelType w:val="hybridMultilevel"/>
    <w:tmpl w:val="69CA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0651C"/>
    <w:multiLevelType w:val="hybridMultilevel"/>
    <w:tmpl w:val="66D200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A67D59"/>
    <w:multiLevelType w:val="multilevel"/>
    <w:tmpl w:val="7EDAE6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A07AFE"/>
    <w:multiLevelType w:val="hybridMultilevel"/>
    <w:tmpl w:val="6F3E0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0D0604"/>
    <w:multiLevelType w:val="multilevel"/>
    <w:tmpl w:val="5C06C2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7C4092"/>
    <w:multiLevelType w:val="hybridMultilevel"/>
    <w:tmpl w:val="810622E6"/>
    <w:lvl w:ilvl="0" w:tplc="161A6902">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1818E4"/>
    <w:multiLevelType w:val="multilevel"/>
    <w:tmpl w:val="1F0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2B6F75"/>
    <w:multiLevelType w:val="multilevel"/>
    <w:tmpl w:val="50CC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C25D06"/>
    <w:multiLevelType w:val="hybridMultilevel"/>
    <w:tmpl w:val="78A861B0"/>
    <w:lvl w:ilvl="0" w:tplc="9C5C0866">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8F34F8"/>
    <w:multiLevelType w:val="hybridMultilevel"/>
    <w:tmpl w:val="8C0AC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636566"/>
    <w:multiLevelType w:val="multilevel"/>
    <w:tmpl w:val="7EDAE6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8"/>
  </w:num>
  <w:num w:numId="4">
    <w:abstractNumId w:val="9"/>
  </w:num>
  <w:num w:numId="5">
    <w:abstractNumId w:val="11"/>
  </w:num>
  <w:num w:numId="6">
    <w:abstractNumId w:val="13"/>
  </w:num>
  <w:num w:numId="7">
    <w:abstractNumId w:val="12"/>
  </w:num>
  <w:num w:numId="8">
    <w:abstractNumId w:val="16"/>
  </w:num>
  <w:num w:numId="9">
    <w:abstractNumId w:val="2"/>
  </w:num>
  <w:num w:numId="10">
    <w:abstractNumId w:val="10"/>
  </w:num>
  <w:num w:numId="11">
    <w:abstractNumId w:val="4"/>
  </w:num>
  <w:num w:numId="12">
    <w:abstractNumId w:val="7"/>
  </w:num>
  <w:num w:numId="13">
    <w:abstractNumId w:val="17"/>
  </w:num>
  <w:num w:numId="14">
    <w:abstractNumId w:val="5"/>
  </w:num>
  <w:num w:numId="15">
    <w:abstractNumId w:val="0"/>
  </w:num>
  <w:num w:numId="16">
    <w:abstractNumId w:val="3"/>
  </w:num>
  <w:num w:numId="17">
    <w:abstractNumId w:val="6"/>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D4"/>
    <w:rsid w:val="000173BF"/>
    <w:rsid w:val="000445D4"/>
    <w:rsid w:val="0005774E"/>
    <w:rsid w:val="000630DF"/>
    <w:rsid w:val="00063BE1"/>
    <w:rsid w:val="0008133A"/>
    <w:rsid w:val="000A3452"/>
    <w:rsid w:val="000B4310"/>
    <w:rsid w:val="000D7FE8"/>
    <w:rsid w:val="000F4239"/>
    <w:rsid w:val="00151494"/>
    <w:rsid w:val="00231385"/>
    <w:rsid w:val="00245889"/>
    <w:rsid w:val="00263039"/>
    <w:rsid w:val="002A07C9"/>
    <w:rsid w:val="002B6FAC"/>
    <w:rsid w:val="002E61DD"/>
    <w:rsid w:val="00304626"/>
    <w:rsid w:val="00335A9B"/>
    <w:rsid w:val="00342E7F"/>
    <w:rsid w:val="003505E0"/>
    <w:rsid w:val="003547CD"/>
    <w:rsid w:val="003B1236"/>
    <w:rsid w:val="003C1719"/>
    <w:rsid w:val="003D0DCB"/>
    <w:rsid w:val="004000D7"/>
    <w:rsid w:val="00424A92"/>
    <w:rsid w:val="004B1944"/>
    <w:rsid w:val="005021CF"/>
    <w:rsid w:val="00504E43"/>
    <w:rsid w:val="00532DF2"/>
    <w:rsid w:val="00537856"/>
    <w:rsid w:val="00552B4F"/>
    <w:rsid w:val="0057074F"/>
    <w:rsid w:val="0057660F"/>
    <w:rsid w:val="005B5DBD"/>
    <w:rsid w:val="005C4E57"/>
    <w:rsid w:val="005C6416"/>
    <w:rsid w:val="005E37E4"/>
    <w:rsid w:val="00613A58"/>
    <w:rsid w:val="00616F3F"/>
    <w:rsid w:val="006247C4"/>
    <w:rsid w:val="00662BE7"/>
    <w:rsid w:val="006D6632"/>
    <w:rsid w:val="006F6326"/>
    <w:rsid w:val="006F6731"/>
    <w:rsid w:val="007908F4"/>
    <w:rsid w:val="007E3029"/>
    <w:rsid w:val="007F56EC"/>
    <w:rsid w:val="00801BEB"/>
    <w:rsid w:val="00804BF2"/>
    <w:rsid w:val="00834D72"/>
    <w:rsid w:val="00844D21"/>
    <w:rsid w:val="00854133"/>
    <w:rsid w:val="008613FB"/>
    <w:rsid w:val="008676E5"/>
    <w:rsid w:val="008760D8"/>
    <w:rsid w:val="008900A7"/>
    <w:rsid w:val="00891B19"/>
    <w:rsid w:val="008A22C6"/>
    <w:rsid w:val="009065A3"/>
    <w:rsid w:val="00966B43"/>
    <w:rsid w:val="00975FB7"/>
    <w:rsid w:val="00986C99"/>
    <w:rsid w:val="009C28B7"/>
    <w:rsid w:val="009C71BF"/>
    <w:rsid w:val="009D5D08"/>
    <w:rsid w:val="009E13CF"/>
    <w:rsid w:val="009F048F"/>
    <w:rsid w:val="00A112E6"/>
    <w:rsid w:val="00A12928"/>
    <w:rsid w:val="00A96C08"/>
    <w:rsid w:val="00AA2CED"/>
    <w:rsid w:val="00AC5899"/>
    <w:rsid w:val="00B15340"/>
    <w:rsid w:val="00B87695"/>
    <w:rsid w:val="00B928EF"/>
    <w:rsid w:val="00BA6C93"/>
    <w:rsid w:val="00BD4490"/>
    <w:rsid w:val="00BE123B"/>
    <w:rsid w:val="00BE1FD4"/>
    <w:rsid w:val="00BE7872"/>
    <w:rsid w:val="00C07F80"/>
    <w:rsid w:val="00C148CE"/>
    <w:rsid w:val="00C41D12"/>
    <w:rsid w:val="00C6130E"/>
    <w:rsid w:val="00C63F64"/>
    <w:rsid w:val="00C678ED"/>
    <w:rsid w:val="00C71CE3"/>
    <w:rsid w:val="00C74C22"/>
    <w:rsid w:val="00C81C3D"/>
    <w:rsid w:val="00CC18F1"/>
    <w:rsid w:val="00CD12CD"/>
    <w:rsid w:val="00D05837"/>
    <w:rsid w:val="00D33F83"/>
    <w:rsid w:val="00D41E3D"/>
    <w:rsid w:val="00D543D9"/>
    <w:rsid w:val="00D8729B"/>
    <w:rsid w:val="00DA71FC"/>
    <w:rsid w:val="00DB01D4"/>
    <w:rsid w:val="00DC5B25"/>
    <w:rsid w:val="00DD1A34"/>
    <w:rsid w:val="00DD51B2"/>
    <w:rsid w:val="00E127E3"/>
    <w:rsid w:val="00E20A54"/>
    <w:rsid w:val="00E270E5"/>
    <w:rsid w:val="00E36AB1"/>
    <w:rsid w:val="00E72144"/>
    <w:rsid w:val="00E96724"/>
    <w:rsid w:val="00E97F84"/>
    <w:rsid w:val="00EA182F"/>
    <w:rsid w:val="00EA1D3B"/>
    <w:rsid w:val="00EB6694"/>
    <w:rsid w:val="00F11FD1"/>
    <w:rsid w:val="00F12728"/>
    <w:rsid w:val="00F1714D"/>
    <w:rsid w:val="00F64579"/>
    <w:rsid w:val="00F84AE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04981-8AA2-4178-96EF-DB0BD460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4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styleId="CommentReference">
    <w:name w:val="annotation reference"/>
    <w:basedOn w:val="DefaultParagraphFont"/>
    <w:uiPriority w:val="99"/>
    <w:semiHidden/>
    <w:unhideWhenUsed/>
    <w:rsid w:val="00151494"/>
    <w:rPr>
      <w:sz w:val="16"/>
      <w:szCs w:val="16"/>
    </w:rPr>
  </w:style>
  <w:style w:type="paragraph" w:styleId="CommentText">
    <w:name w:val="annotation text"/>
    <w:basedOn w:val="Normal"/>
    <w:link w:val="CommentTextChar"/>
    <w:uiPriority w:val="99"/>
    <w:semiHidden/>
    <w:unhideWhenUsed/>
    <w:rsid w:val="00151494"/>
    <w:rPr>
      <w:sz w:val="20"/>
      <w:szCs w:val="20"/>
    </w:rPr>
  </w:style>
  <w:style w:type="character" w:customStyle="1" w:styleId="CommentTextChar">
    <w:name w:val="Comment Text Char"/>
    <w:basedOn w:val="DefaultParagraphFont"/>
    <w:link w:val="CommentText"/>
    <w:uiPriority w:val="99"/>
    <w:semiHidden/>
    <w:rsid w:val="0015149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51494"/>
    <w:rPr>
      <w:b/>
      <w:bCs/>
    </w:rPr>
  </w:style>
  <w:style w:type="character" w:customStyle="1" w:styleId="CommentSubjectChar">
    <w:name w:val="Comment Subject Char"/>
    <w:basedOn w:val="CommentTextChar"/>
    <w:link w:val="CommentSubject"/>
    <w:uiPriority w:val="99"/>
    <w:semiHidden/>
    <w:rsid w:val="00151494"/>
    <w:rPr>
      <w:rFonts w:ascii="Times New Roman" w:eastAsia="Times New Roman" w:hAnsi="Times New Roman" w:cs="Times New Roman"/>
      <w:b/>
      <w:bCs/>
      <w:sz w:val="20"/>
      <w:szCs w:val="20"/>
      <w:lang w:eastAsia="en-GB"/>
    </w:rPr>
  </w:style>
  <w:style w:type="paragraph" w:styleId="Revision">
    <w:name w:val="Revision"/>
    <w:hidden/>
    <w:uiPriority w:val="99"/>
    <w:semiHidden/>
    <w:rsid w:val="00F1714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8867">
      <w:bodyDiv w:val="1"/>
      <w:marLeft w:val="0"/>
      <w:marRight w:val="0"/>
      <w:marTop w:val="0"/>
      <w:marBottom w:val="0"/>
      <w:divBdr>
        <w:top w:val="none" w:sz="0" w:space="0" w:color="auto"/>
        <w:left w:val="none" w:sz="0" w:space="0" w:color="auto"/>
        <w:bottom w:val="none" w:sz="0" w:space="0" w:color="auto"/>
        <w:right w:val="none" w:sz="0" w:space="0" w:color="auto"/>
      </w:divBdr>
    </w:div>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429012330">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20703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E649C-F8EF-4DB8-B5A4-8CEDE281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A3EE7708</Template>
  <TotalTime>38</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Sarah.Claridge</dc:creator>
  <cp:lastModifiedBy>LUND Emma</cp:lastModifiedBy>
  <cp:revision>7</cp:revision>
  <cp:lastPrinted>2015-07-27T09:35:00Z</cp:lastPrinted>
  <dcterms:created xsi:type="dcterms:W3CDTF">2022-01-26T17:16:00Z</dcterms:created>
  <dcterms:modified xsi:type="dcterms:W3CDTF">2022-02-17T12:34:00Z</dcterms:modified>
</cp:coreProperties>
</file>